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 w:line="240" w:lineRule="auto"/>
        <w:ind w:left="4400" w:right="0" w:hanging="71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Capacitación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“Recupero de activos: Aseguramiento y Decomiso de Activos”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OECD</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19" w:right="2736" w:firstLine="0"/>
        <w:jc w:val="center"/>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Actividad Práctica No. </w:t>
      </w:r>
      <w:r w:rsidDel="00000000" w:rsidR="00000000" w:rsidRPr="00000000">
        <w:rPr>
          <w:rFonts w:ascii="Arial" w:cs="Arial" w:eastAsia="Arial" w:hAnsi="Arial"/>
          <w:b w:val="1"/>
          <w:sz w:val="24"/>
          <w:szCs w:val="24"/>
          <w:u w:val="single"/>
          <w:rtl w:val="0"/>
        </w:rPr>
        <w:t xml:space="preserve">2</w:t>
      </w: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 w:line="240" w:lineRule="auto"/>
        <w:ind w:left="2719" w:right="2736" w:firstLine="0"/>
        <w:jc w:val="center"/>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sz w:val="24"/>
          <w:szCs w:val="24"/>
          <w:u w:val="single"/>
          <w:rtl w:val="0"/>
        </w:rPr>
        <w:t xml:space="preserve">MLAT: Elaborar una solicitud de MLAT.</w:t>
      </w:r>
      <w:r w:rsidDel="00000000" w:rsidR="00000000" w:rsidRPr="00000000">
        <w:rPr>
          <w:rtl w:val="0"/>
        </w:rPr>
      </w:r>
    </w:p>
    <w:p w:rsidR="00000000" w:rsidDel="00000000" w:rsidP="00000000" w:rsidRDefault="00000000" w:rsidRPr="00000000" w14:paraId="00000005">
      <w:pPr>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0" w:right="125" w:firstLine="0"/>
        <w:jc w:val="both"/>
        <w:rPr>
          <w:rFonts w:ascii="Arial" w:cs="Arial" w:eastAsia="Arial" w:hAnsi="Arial"/>
          <w:b w:val="1"/>
          <w:sz w:val="24"/>
          <w:szCs w:val="24"/>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Cada uno de los cuatro grupos de trabajo deberá </w:t>
      </w:r>
      <w:r w:rsidDel="00000000" w:rsidR="00000000" w:rsidRPr="00000000">
        <w:rPr>
          <w:rFonts w:ascii="Arial" w:cs="Arial" w:eastAsia="Arial" w:hAnsi="Arial"/>
          <w:b w:val="1"/>
          <w:sz w:val="24"/>
          <w:szCs w:val="24"/>
          <w:rtl w:val="0"/>
        </w:rPr>
        <w:t xml:space="preserve">realizar la siguiente tarea:</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0" w:right="125" w:firstLine="0"/>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125" w:hanging="360"/>
        <w:jc w:val="both"/>
        <w:rPr>
          <w:rFonts w:ascii="Arial" w:cs="Arial" w:eastAsia="Arial" w:hAnsi="Arial"/>
          <w:b w:val="1"/>
          <w:sz w:val="24"/>
          <w:szCs w:val="24"/>
          <w:u w:val="none"/>
        </w:rPr>
      </w:pPr>
      <w:r w:rsidDel="00000000" w:rsidR="00000000" w:rsidRPr="00000000">
        <w:rPr>
          <w:rFonts w:ascii="Arial" w:cs="Arial" w:eastAsia="Arial" w:hAnsi="Arial"/>
          <w:b w:val="1"/>
          <w:sz w:val="24"/>
          <w:szCs w:val="24"/>
          <w:rtl w:val="0"/>
        </w:rPr>
        <w:t xml:space="preserve">Deberán trabajar como si fuesen investigadores/ras que se desempeñan trabajando en el país respecto del cuál han hecho la búsqueda de información sobre canales de cooperación.</w:t>
      </w:r>
    </w:p>
    <w:p w:rsidR="00000000" w:rsidDel="00000000" w:rsidP="00000000" w:rsidRDefault="00000000" w:rsidRPr="00000000" w14:paraId="0000000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125" w:hanging="360"/>
        <w:jc w:val="both"/>
        <w:rPr>
          <w:rFonts w:ascii="Arial" w:cs="Arial" w:eastAsia="Arial" w:hAnsi="Arial"/>
          <w:b w:val="1"/>
          <w:sz w:val="24"/>
          <w:szCs w:val="24"/>
          <w:u w:val="none"/>
        </w:rPr>
      </w:pPr>
      <w:r w:rsidDel="00000000" w:rsidR="00000000" w:rsidRPr="00000000">
        <w:rPr>
          <w:rFonts w:ascii="Arial" w:cs="Arial" w:eastAsia="Arial" w:hAnsi="Arial"/>
          <w:b w:val="1"/>
          <w:sz w:val="24"/>
          <w:szCs w:val="24"/>
          <w:rtl w:val="0"/>
        </w:rPr>
        <w:t xml:space="preserve">Para el ejercicio, deberán elegir una jurisdicción cooperante de las que han identificado en la primera parte del ejercicio. </w:t>
      </w:r>
      <w:r w:rsidDel="00000000" w:rsidR="00000000" w:rsidRPr="00000000">
        <w:rPr>
          <w:rFonts w:ascii="Arial" w:cs="Arial" w:eastAsia="Arial" w:hAnsi="Arial"/>
          <w:sz w:val="24"/>
          <w:szCs w:val="24"/>
          <w:rtl w:val="0"/>
        </w:rPr>
        <w:t xml:space="preserve">Por ejemplo: si el país que eligieron fue México, y han identificado que Méxito ha firmado un MLAT con Italia, podrán hacer una solicitud de México hacia Italia.</w:t>
      </w:r>
    </w:p>
    <w:p w:rsidR="00000000" w:rsidDel="00000000" w:rsidP="00000000" w:rsidRDefault="00000000" w:rsidRPr="00000000" w14:paraId="0000000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125" w:hanging="360"/>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Sobre la base del caso hipotético que se plantea a continuación, deberán decidir qué pueden pedir a la “JURISDICCIÓN REQUERIDA” y cuál es la utilidad del pedido.</w:t>
      </w:r>
    </w:p>
    <w:p w:rsidR="00000000" w:rsidDel="00000000" w:rsidP="00000000" w:rsidRDefault="00000000" w:rsidRPr="00000000" w14:paraId="0000000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125" w:hanging="360"/>
        <w:jc w:val="both"/>
        <w:rPr>
          <w:rFonts w:ascii="Arial" w:cs="Arial" w:eastAsia="Arial" w:hAnsi="Arial"/>
          <w:b w:val="1"/>
          <w:sz w:val="24"/>
          <w:szCs w:val="24"/>
          <w:u w:val="none"/>
        </w:rPr>
      </w:pPr>
      <w:r w:rsidDel="00000000" w:rsidR="00000000" w:rsidRPr="00000000">
        <w:rPr>
          <w:rFonts w:ascii="Arial" w:cs="Arial" w:eastAsia="Arial" w:hAnsi="Arial"/>
          <w:b w:val="1"/>
          <w:sz w:val="24"/>
          <w:szCs w:val="24"/>
          <w:rtl w:val="0"/>
        </w:rPr>
        <w:t xml:space="preserve">Además, deberán REDACTAR un BORRADOR DE SOLICITUD para ser tramitado ante las autoridades del país que han elegido.</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125"/>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125"/>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Caso:</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125"/>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125"/>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País A: </w:t>
      </w:r>
      <w:r w:rsidDel="00000000" w:rsidR="00000000" w:rsidRPr="00000000">
        <w:rPr>
          <w:rFonts w:ascii="Arial" w:cs="Arial" w:eastAsia="Arial" w:hAnsi="Arial"/>
          <w:sz w:val="24"/>
          <w:szCs w:val="24"/>
          <w:rtl w:val="0"/>
        </w:rPr>
        <w:t xml:space="preserve">Es el país donde usted está radicado y donde se desarrolla el caso.</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125"/>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125"/>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País B: </w:t>
      </w:r>
      <w:r w:rsidDel="00000000" w:rsidR="00000000" w:rsidRPr="00000000">
        <w:rPr>
          <w:rFonts w:ascii="Arial" w:cs="Arial" w:eastAsia="Arial" w:hAnsi="Arial"/>
          <w:sz w:val="24"/>
          <w:szCs w:val="24"/>
          <w:rtl w:val="0"/>
        </w:rPr>
        <w:t xml:space="preserve">Es el país REQUERIDO al que se deberá dirigir la solicitud de cooperación.</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25" w:firstLine="0"/>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14">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fiscalía ha formulado cargos contra </w:t>
      </w:r>
      <w:r w:rsidDel="00000000" w:rsidR="00000000" w:rsidRPr="00000000">
        <w:rPr>
          <w:rFonts w:ascii="Arial" w:cs="Arial" w:eastAsia="Arial" w:hAnsi="Arial"/>
          <w:b w:val="1"/>
          <w:sz w:val="24"/>
          <w:szCs w:val="24"/>
          <w:rtl w:val="0"/>
        </w:rPr>
        <w:t xml:space="preserve">Micaela Cruz, Javier López, Nicolás Gómez, Gustavo Ruiz y Valeria Castro </w:t>
      </w:r>
      <w:r w:rsidDel="00000000" w:rsidR="00000000" w:rsidRPr="00000000">
        <w:rPr>
          <w:rFonts w:ascii="Arial" w:cs="Arial" w:eastAsia="Arial" w:hAnsi="Arial"/>
          <w:sz w:val="24"/>
          <w:szCs w:val="24"/>
          <w:rtl w:val="0"/>
        </w:rPr>
        <w:t xml:space="preserve">como integrantes de una organización criminal dedicada a realizar robos de automóviles y a vender repuestos de automóviles robados. Entre los delitos imputados se incluye el delito lavado de activos. Las maniobras ilícitas investigadas abarcan el período 2018 a 2021, años en los que se investiga el blanqueo de, aproximadamente, 40 millones de U$S, provenientes de dicha actividad criminal. La Fiscalía ha alcanzado el estándar requerido para obtener órdenes de allanamiento en el País A. Dichas órdenes se han ejecutado y la investigación continúa en curso.</w:t>
      </w:r>
    </w:p>
    <w:p w:rsidR="00000000" w:rsidDel="00000000" w:rsidP="00000000" w:rsidRDefault="00000000" w:rsidRPr="00000000" w14:paraId="00000015">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6">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delito de lavado de activos está castigado por el Código Penal del País A, con una pena que va desde 3 a 10 años de prisión y con una pena de multa que va desde el doble hasta el décuplo del valor de las operaciones de lavado de activos que se prueben.</w:t>
      </w:r>
    </w:p>
    <w:p w:rsidR="00000000" w:rsidDel="00000000" w:rsidP="00000000" w:rsidRDefault="00000000" w:rsidRPr="00000000" w14:paraId="00000017">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8">
      <w:pPr>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 partir de la investigación realizada se ha podido saber lo siguiente:</w:t>
      </w:r>
    </w:p>
    <w:p w:rsidR="00000000" w:rsidDel="00000000" w:rsidP="00000000" w:rsidRDefault="00000000" w:rsidRPr="00000000" w14:paraId="00000019">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A">
      <w:pPr>
        <w:numPr>
          <w:ilvl w:val="0"/>
          <w:numId w:val="3"/>
        </w:numPr>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casa de la imputada </w:t>
      </w:r>
      <w:r w:rsidDel="00000000" w:rsidR="00000000" w:rsidRPr="00000000">
        <w:rPr>
          <w:rFonts w:ascii="Arial" w:cs="Arial" w:eastAsia="Arial" w:hAnsi="Arial"/>
          <w:b w:val="1"/>
          <w:sz w:val="24"/>
          <w:szCs w:val="24"/>
          <w:u w:val="single"/>
          <w:rtl w:val="0"/>
        </w:rPr>
        <w:t xml:space="preserve">Micaela Cruz</w:t>
      </w:r>
      <w:r w:rsidDel="00000000" w:rsidR="00000000" w:rsidRPr="00000000">
        <w:rPr>
          <w:rFonts w:ascii="Arial" w:cs="Arial" w:eastAsia="Arial" w:hAnsi="Arial"/>
          <w:b w:val="1"/>
          <w:sz w:val="24"/>
          <w:szCs w:val="24"/>
          <w:rtl w:val="0"/>
        </w:rPr>
        <w:t xml:space="preserve"> </w:t>
      </w:r>
      <w:r w:rsidDel="00000000" w:rsidR="00000000" w:rsidRPr="00000000">
        <w:rPr>
          <w:rFonts w:ascii="Arial" w:cs="Arial" w:eastAsia="Arial" w:hAnsi="Arial"/>
          <w:sz w:val="24"/>
          <w:szCs w:val="24"/>
          <w:rtl w:val="0"/>
        </w:rPr>
        <w:t xml:space="preserve">se encontró una factura de compra de una firma llamada “Cars &amp; Co.”. La firma, según pudo averiguarse en internet es una agencia de venta de automóviles de alta gama, localizada en el País B. La factura es por U$S 40.000 y en el concepto dice “adelanto por compra de Mercedes Benz S 500 2022”. Además, en el teléfono de Micaela Cruz se ha encontrado una fotografía en la que se la puede ver en un Mercedes Benz S 500, en un paisaje que parece el País B. La oficina de Migraciones ha informado que, entre 2018 y 2022, Micaela ha viajado tres veces al País B.</w:t>
      </w:r>
    </w:p>
    <w:p w:rsidR="00000000" w:rsidDel="00000000" w:rsidP="00000000" w:rsidRDefault="00000000" w:rsidRPr="00000000" w14:paraId="0000001B">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C">
      <w:pPr>
        <w:numPr>
          <w:ilvl w:val="0"/>
          <w:numId w:val="3"/>
        </w:numPr>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los allanamientos realizados en una caja de seguridad del Banco Interbank, cuyo titular es </w:t>
      </w:r>
      <w:r w:rsidDel="00000000" w:rsidR="00000000" w:rsidRPr="00000000">
        <w:rPr>
          <w:rFonts w:ascii="Arial" w:cs="Arial" w:eastAsia="Arial" w:hAnsi="Arial"/>
          <w:b w:val="1"/>
          <w:sz w:val="24"/>
          <w:szCs w:val="24"/>
          <w:u w:val="single"/>
          <w:rtl w:val="0"/>
        </w:rPr>
        <w:t xml:space="preserve">Javier López</w:t>
      </w:r>
      <w:r w:rsidDel="00000000" w:rsidR="00000000" w:rsidRPr="00000000">
        <w:rPr>
          <w:rFonts w:ascii="Arial" w:cs="Arial" w:eastAsia="Arial" w:hAnsi="Arial"/>
          <w:sz w:val="24"/>
          <w:szCs w:val="24"/>
          <w:rtl w:val="0"/>
        </w:rPr>
        <w:t xml:space="preserve">, se encontraron 2 certificados de propiedad, a nombre de una Firma llamada “Clean Art” que es una </w:t>
      </w:r>
      <w:r w:rsidDel="00000000" w:rsidR="00000000" w:rsidRPr="00000000">
        <w:rPr>
          <w:rFonts w:ascii="Roboto" w:cs="Roboto" w:eastAsia="Roboto" w:hAnsi="Roboto"/>
          <w:sz w:val="23"/>
          <w:szCs w:val="23"/>
          <w:rtl w:val="0"/>
        </w:rPr>
        <w:t xml:space="preserve">BVI Business Company. Se trata de</w:t>
      </w:r>
      <w:r w:rsidDel="00000000" w:rsidR="00000000" w:rsidRPr="00000000">
        <w:rPr>
          <w:rFonts w:ascii="Arial" w:cs="Arial" w:eastAsia="Arial" w:hAnsi="Arial"/>
          <w:sz w:val="24"/>
          <w:szCs w:val="24"/>
          <w:rtl w:val="0"/>
        </w:rPr>
        <w:t xml:space="preserve"> 2 pinturas del artista uruguayo </w:t>
      </w:r>
      <w:r w:rsidDel="00000000" w:rsidR="00000000" w:rsidRPr="00000000">
        <w:rPr>
          <w:rFonts w:ascii="Arial" w:cs="Arial" w:eastAsia="Arial" w:hAnsi="Arial"/>
          <w:i w:val="1"/>
          <w:sz w:val="24"/>
          <w:szCs w:val="24"/>
          <w:rtl w:val="0"/>
        </w:rPr>
        <w:t xml:space="preserve">Roy Wilmer Calatraba</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1"/>
          <w:sz w:val="24"/>
          <w:szCs w:val="24"/>
          <w:rtl w:val="0"/>
        </w:rPr>
        <w:t xml:space="preserve"> </w:t>
      </w:r>
      <w:r w:rsidDel="00000000" w:rsidR="00000000" w:rsidRPr="00000000">
        <w:rPr>
          <w:rFonts w:ascii="Arial" w:cs="Arial" w:eastAsia="Arial" w:hAnsi="Arial"/>
          <w:sz w:val="24"/>
          <w:szCs w:val="24"/>
          <w:rtl w:val="0"/>
        </w:rPr>
        <w:t xml:space="preserve">valuadas en U$S 400.000 cada una. A través de internet los investigadores han encontrado que ambas pinturas se encuentran expuestas en la colección permanente del museo MOKA, del País B.</w:t>
      </w:r>
    </w:p>
    <w:p w:rsidR="00000000" w:rsidDel="00000000" w:rsidP="00000000" w:rsidRDefault="00000000" w:rsidRPr="00000000" w14:paraId="0000001D">
      <w:pPr>
        <w:ind w:left="72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j</w:t>
      </w:r>
    </w:p>
    <w:p w:rsidR="00000000" w:rsidDel="00000000" w:rsidP="00000000" w:rsidRDefault="00000000" w:rsidRPr="00000000" w14:paraId="0000001E">
      <w:pPr>
        <w:numPr>
          <w:ilvl w:val="0"/>
          <w:numId w:val="3"/>
        </w:numPr>
        <w:ind w:left="720"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En el allanamiento en la oficina de </w:t>
      </w:r>
      <w:r w:rsidDel="00000000" w:rsidR="00000000" w:rsidRPr="00000000">
        <w:rPr>
          <w:rFonts w:ascii="Arial" w:cs="Arial" w:eastAsia="Arial" w:hAnsi="Arial"/>
          <w:b w:val="1"/>
          <w:sz w:val="24"/>
          <w:szCs w:val="24"/>
          <w:u w:val="single"/>
          <w:rtl w:val="0"/>
        </w:rPr>
        <w:t xml:space="preserve">Nicolás Gómez</w:t>
      </w:r>
      <w:r w:rsidDel="00000000" w:rsidR="00000000" w:rsidRPr="00000000">
        <w:rPr>
          <w:rFonts w:ascii="Arial" w:cs="Arial" w:eastAsia="Arial" w:hAnsi="Arial"/>
          <w:sz w:val="24"/>
          <w:szCs w:val="24"/>
          <w:rtl w:val="0"/>
        </w:rPr>
        <w:t xml:space="preserve">, la policía encontró documentación, en fotocopias del contrato de una Sociedad de Responsabilidad Limitada, localizada en el País B, llamada “Real Fate”. En internet, en un sitio del gobierno del País B, se ha localizado un registro de una sociedad con ese nombre. Nicolás Gómez figura como “officer” de dicha compañía. En la oficina también se encontraron copias de un extracto bancario del Banco “ING”, de una sucursal en el País B. En los extractos hay movimientos por U$S 600.000 en el término de un año. La cuenta tiene como titular a “Real Fate LLC”.</w:t>
      </w:r>
    </w:p>
    <w:p w:rsidR="00000000" w:rsidDel="00000000" w:rsidP="00000000" w:rsidRDefault="00000000" w:rsidRPr="00000000" w14:paraId="0000001F">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0">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Con esta información, deben preparar un borrador de solicitud de cooperación, al País B, invocando el MLAT que tienen ratificado los países A y B.</w:t>
      </w:r>
    </w:p>
    <w:p w:rsidR="00000000" w:rsidDel="00000000" w:rsidP="00000000" w:rsidRDefault="00000000" w:rsidRPr="00000000" w14:paraId="00000021">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continuación, se transcriben algunos ítems que un borrador de solicitud de Cooperación debería contener.</w:t>
      </w:r>
    </w:p>
    <w:p w:rsidR="00000000" w:rsidDel="00000000" w:rsidP="00000000" w:rsidRDefault="00000000" w:rsidRPr="00000000" w14:paraId="00000022">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3">
      <w:pPr>
        <w:numPr>
          <w:ilvl w:val="0"/>
          <w:numId w:val="2"/>
        </w:numPr>
        <w:ind w:left="720"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Partes</w:t>
      </w:r>
    </w:p>
    <w:p w:rsidR="00000000" w:rsidDel="00000000" w:rsidP="00000000" w:rsidRDefault="00000000" w:rsidRPr="00000000" w14:paraId="00000024">
      <w:pPr>
        <w:numPr>
          <w:ilvl w:val="1"/>
          <w:numId w:val="2"/>
        </w:numPr>
        <w:ind w:left="1440"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Parte requerida</w:t>
      </w:r>
    </w:p>
    <w:p w:rsidR="00000000" w:rsidDel="00000000" w:rsidP="00000000" w:rsidRDefault="00000000" w:rsidRPr="00000000" w14:paraId="00000025">
      <w:pPr>
        <w:numPr>
          <w:ilvl w:val="1"/>
          <w:numId w:val="2"/>
        </w:numPr>
        <w:ind w:left="1440"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Parte requirente</w:t>
      </w:r>
    </w:p>
    <w:p w:rsidR="00000000" w:rsidDel="00000000" w:rsidP="00000000" w:rsidRDefault="00000000" w:rsidRPr="00000000" w14:paraId="00000026">
      <w:pPr>
        <w:numPr>
          <w:ilvl w:val="0"/>
          <w:numId w:val="2"/>
        </w:numPr>
        <w:ind w:left="720"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Autoridad requerida</w:t>
      </w:r>
    </w:p>
    <w:p w:rsidR="00000000" w:rsidDel="00000000" w:rsidP="00000000" w:rsidRDefault="00000000" w:rsidRPr="00000000" w14:paraId="00000027">
      <w:pPr>
        <w:numPr>
          <w:ilvl w:val="0"/>
          <w:numId w:val="2"/>
        </w:numPr>
        <w:ind w:left="720"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Objetivo de la solicitud</w:t>
      </w:r>
    </w:p>
    <w:p w:rsidR="00000000" w:rsidDel="00000000" w:rsidP="00000000" w:rsidRDefault="00000000" w:rsidRPr="00000000" w14:paraId="00000028">
      <w:pPr>
        <w:numPr>
          <w:ilvl w:val="0"/>
          <w:numId w:val="2"/>
        </w:numPr>
        <w:ind w:left="720"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Información Relevante</w:t>
      </w:r>
    </w:p>
    <w:p w:rsidR="00000000" w:rsidDel="00000000" w:rsidP="00000000" w:rsidRDefault="00000000" w:rsidRPr="00000000" w14:paraId="00000029">
      <w:pPr>
        <w:numPr>
          <w:ilvl w:val="0"/>
          <w:numId w:val="2"/>
        </w:numPr>
        <w:ind w:left="720"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Sujetos del requerimiento</w:t>
      </w:r>
    </w:p>
    <w:p w:rsidR="00000000" w:rsidDel="00000000" w:rsidP="00000000" w:rsidRDefault="00000000" w:rsidRPr="00000000" w14:paraId="0000002A">
      <w:pPr>
        <w:numPr>
          <w:ilvl w:val="0"/>
          <w:numId w:val="2"/>
        </w:numPr>
        <w:ind w:left="720"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Información requerida</w:t>
      </w:r>
    </w:p>
    <w:p w:rsidR="00000000" w:rsidDel="00000000" w:rsidP="00000000" w:rsidRDefault="00000000" w:rsidRPr="00000000" w14:paraId="0000002B">
      <w:pPr>
        <w:numPr>
          <w:ilvl w:val="0"/>
          <w:numId w:val="2"/>
        </w:numPr>
        <w:ind w:left="720"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Legislación, normas y costumbres legales invocadas</w:t>
      </w:r>
      <w:r w:rsidDel="00000000" w:rsidR="00000000" w:rsidRPr="00000000">
        <w:rPr>
          <w:rtl w:val="0"/>
        </w:rPr>
      </w:r>
    </w:p>
    <w:sectPr>
      <w:headerReference r:id="rId7" w:type="default"/>
      <w:footerReference r:id="rId8" w:type="default"/>
      <w:pgSz w:h="15840" w:w="12240" w:orient="portrait"/>
      <w:pgMar w:bottom="280" w:top="180" w:left="1340" w:right="13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Georgia"/>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Tahoma">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_________________________________________________________________________________________</w:t>
    </w:r>
  </w:p>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Actividad práctica correspondiente a las clases de S.R. </w:t>
    </w:r>
    <w:r w:rsidDel="00000000" w:rsidR="00000000" w:rsidRPr="00000000">
      <w:rPr>
        <w:rFonts w:ascii="Tahoma" w:cs="Tahoma" w:eastAsia="Tahoma" w:hAnsi="Tahoma"/>
        <w:b w:val="0"/>
        <w:i w:val="0"/>
        <w:smallCaps w:val="1"/>
        <w:strike w:val="0"/>
        <w:color w:val="000000"/>
        <w:sz w:val="18"/>
        <w:szCs w:val="18"/>
        <w:u w:val="none"/>
        <w:shd w:fill="auto" w:val="clear"/>
        <w:vertAlign w:val="baseline"/>
        <w:rtl w:val="0"/>
      </w:rPr>
      <w:t xml:space="preserve">Narvaja. </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Pr>
      <w:drawing>
        <wp:inline distB="0" distT="0" distL="114300" distR="114300">
          <wp:extent cx="6039485" cy="859790"/>
          <wp:effectExtent b="0" l="0" r="0" t="0"/>
          <wp:docPr id="1028"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039485" cy="859790"/>
                  </a:xfrm>
                  <a:prstGeom prst="rect"/>
                  <a:ln/>
                </pic:spPr>
              </pic:pic>
            </a:graphicData>
          </a:graphic>
        </wp:inline>
      </w:drawing>
    </w:r>
    <w:r w:rsidDel="00000000" w:rsidR="00000000" w:rsidRPr="00000000">
      <w:rPr>
        <w:rtl w:val="0"/>
      </w:rPr>
    </w:r>
  </w:p>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mbria" w:cs="Cambria" w:eastAsia="Cambria" w:hAnsi="Cambria"/>
        <w:sz w:val="22"/>
        <w:szCs w:val="22"/>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widowControl w:val="0"/>
      <w:suppressAutoHyphens w:val="1"/>
      <w:autoSpaceDE w:val="0"/>
      <w:autoSpaceDN w:val="0"/>
      <w:adjustRightInd w:val="0"/>
      <w:spacing w:line="1" w:lineRule="atLeast"/>
      <w:ind w:leftChars="-1" w:rightChars="0" w:firstLineChars="-1"/>
      <w:textDirection w:val="btLr"/>
      <w:textAlignment w:val="top"/>
      <w:outlineLvl w:val="0"/>
    </w:pPr>
    <w:rPr>
      <w:rFonts w:ascii="Cambria" w:cs="Cambria" w:hAnsi="Cambria"/>
      <w:w w:val="100"/>
      <w:position w:val="-1"/>
      <w:sz w:val="22"/>
      <w:szCs w:val="22"/>
      <w:effect w:val="none"/>
      <w:vertAlign w:val="baseline"/>
      <w:cs w:val="0"/>
      <w:em w:val="none"/>
      <w:lang w:bidi="ar-SA" w:eastAsia="en-US" w:val="en-US"/>
    </w:rPr>
  </w:style>
  <w:style w:type="character" w:styleId="Fuentedepárrafopredeter.">
    <w:name w:val="Fuente de párrafo predeter."/>
    <w:next w:val="Fuentedepárrafopredeter."/>
    <w:autoRedefine w:val="0"/>
    <w:hidden w:val="0"/>
    <w:qFormat w:val="1"/>
    <w:rPr>
      <w:w w:val="100"/>
      <w:position w:val="-1"/>
      <w:effect w:val="none"/>
      <w:vertAlign w:val="baseline"/>
      <w:cs w:val="0"/>
      <w:em w:val="none"/>
      <w:lang/>
    </w:rPr>
  </w:style>
  <w:style w:type="table" w:styleId="Tablanormal">
    <w:name w:val="Tabla normal"/>
    <w:next w:val="Tabla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Sinlista">
    <w:name w:val="Sin lista"/>
    <w:next w:val="Sinlista"/>
    <w:autoRedefine w:val="0"/>
    <w:hidden w:val="0"/>
    <w:qFormat w:val="1"/>
    <w:pPr>
      <w:suppressAutoHyphens w:val="1"/>
      <w:spacing w:line="1" w:lineRule="atLeast"/>
      <w:ind w:leftChars="-1" w:rightChars="0" w:firstLineChars="-1"/>
      <w:textDirection w:val="btLr"/>
      <w:textAlignment w:val="top"/>
      <w:outlineLvl w:val="0"/>
    </w:pPr>
  </w:style>
  <w:style w:type="paragraph" w:styleId="Textoindependiente">
    <w:name w:val="Texto independiente"/>
    <w:basedOn w:val="Normal"/>
    <w:next w:val="Textoindependiente"/>
    <w:autoRedefine w:val="0"/>
    <w:hidden w:val="0"/>
    <w:qFormat w:val="0"/>
    <w:pPr>
      <w:widowControl w:val="0"/>
      <w:suppressAutoHyphens w:val="1"/>
      <w:autoSpaceDE w:val="0"/>
      <w:autoSpaceDN w:val="0"/>
      <w:adjustRightInd w:val="0"/>
      <w:spacing w:line="1" w:lineRule="atLeast"/>
      <w:ind w:leftChars="-1" w:rightChars="0" w:firstLineChars="-1"/>
      <w:textDirection w:val="btLr"/>
      <w:textAlignment w:val="top"/>
      <w:outlineLvl w:val="0"/>
    </w:pPr>
    <w:rPr>
      <w:rFonts w:ascii="Cambria" w:cs="Cambria" w:hAnsi="Cambria"/>
      <w:w w:val="100"/>
      <w:position w:val="-1"/>
      <w:sz w:val="24"/>
      <w:szCs w:val="24"/>
      <w:effect w:val="none"/>
      <w:vertAlign w:val="baseline"/>
      <w:cs w:val="0"/>
      <w:em w:val="none"/>
      <w:lang w:bidi="ar-SA" w:eastAsia="en-US" w:val="en-US"/>
    </w:rPr>
  </w:style>
  <w:style w:type="character" w:styleId="TextoindependienteCar">
    <w:name w:val="Texto independiente Car"/>
    <w:next w:val="TextoindependienteCar"/>
    <w:autoRedefine w:val="0"/>
    <w:hidden w:val="0"/>
    <w:qFormat w:val="0"/>
    <w:rPr>
      <w:rFonts w:ascii="Cambria" w:cs="Cambria" w:hAnsi="Cambria"/>
      <w:w w:val="100"/>
      <w:position w:val="-1"/>
      <w:effect w:val="none"/>
      <w:vertAlign w:val="baseline"/>
      <w:cs w:val="0"/>
      <w:em w:val="none"/>
      <w:lang/>
    </w:rPr>
  </w:style>
  <w:style w:type="paragraph" w:styleId="Título">
    <w:name w:val="Título"/>
    <w:basedOn w:val="Normal"/>
    <w:next w:val="Normal"/>
    <w:autoRedefine w:val="0"/>
    <w:hidden w:val="0"/>
    <w:qFormat w:val="0"/>
    <w:pPr>
      <w:widowControl w:val="0"/>
      <w:suppressAutoHyphens w:val="1"/>
      <w:autoSpaceDE w:val="0"/>
      <w:autoSpaceDN w:val="0"/>
      <w:adjustRightInd w:val="0"/>
      <w:spacing w:line="1" w:lineRule="atLeast"/>
      <w:ind w:left="2719" w:right="2736" w:leftChars="-1" w:rightChars="0" w:firstLineChars="-1"/>
      <w:jc w:val="center"/>
      <w:textDirection w:val="btLr"/>
      <w:textAlignment w:val="top"/>
      <w:outlineLvl w:val="0"/>
    </w:pPr>
    <w:rPr>
      <w:rFonts w:ascii="Cambria" w:cs="Cambria" w:hAnsi="Cambria"/>
      <w:b w:val="1"/>
      <w:bCs w:val="1"/>
      <w:w w:val="100"/>
      <w:position w:val="-1"/>
      <w:sz w:val="28"/>
      <w:szCs w:val="28"/>
      <w:u w:val="single"/>
      <w:effect w:val="none"/>
      <w:vertAlign w:val="baseline"/>
      <w:cs w:val="0"/>
      <w:em w:val="none"/>
      <w:lang w:bidi="ar-SA" w:eastAsia="en-US" w:val="en-US"/>
    </w:rPr>
  </w:style>
  <w:style w:type="paragraph" w:styleId="Párrafodelista">
    <w:name w:val="Párrafo de lista"/>
    <w:basedOn w:val="Normal"/>
    <w:next w:val="Párrafodelista"/>
    <w:autoRedefine w:val="0"/>
    <w:hidden w:val="0"/>
    <w:qFormat w:val="0"/>
    <w:pPr>
      <w:widowControl w:val="0"/>
      <w:suppressAutoHyphens w:val="1"/>
      <w:autoSpaceDE w:val="0"/>
      <w:autoSpaceDN w:val="0"/>
      <w:adjustRightInd w:val="0"/>
      <w:spacing w:line="1" w:lineRule="atLeast"/>
      <w:ind w:left="100" w:right="127" w:leftChars="-1" w:rightChars="0" w:firstLine="360" w:firstLineChars="-1"/>
      <w:jc w:val="both"/>
      <w:textDirection w:val="btLr"/>
      <w:textAlignment w:val="top"/>
      <w:outlineLvl w:val="0"/>
    </w:pPr>
    <w:rPr>
      <w:rFonts w:ascii="Cambria" w:cs="Cambria" w:hAnsi="Cambria"/>
      <w:w w:val="100"/>
      <w:position w:val="-1"/>
      <w:sz w:val="24"/>
      <w:szCs w:val="24"/>
      <w:effect w:val="none"/>
      <w:vertAlign w:val="baseline"/>
      <w:cs w:val="0"/>
      <w:em w:val="none"/>
      <w:lang w:bidi="ar-SA" w:eastAsia="en-US" w:val="en-US"/>
    </w:rPr>
  </w:style>
  <w:style w:type="character" w:styleId="TítuloCar">
    <w:name w:val="Título Car"/>
    <w:next w:val="TítuloCar"/>
    <w:autoRedefine w:val="0"/>
    <w:hidden w:val="0"/>
    <w:qFormat w:val="0"/>
    <w:rPr>
      <w:rFonts w:ascii="Calibri Light" w:cs="Times New Roman" w:eastAsia="Times New Roman" w:hAnsi="Calibri Light"/>
      <w:b w:val="1"/>
      <w:bCs w:val="1"/>
      <w:w w:val="100"/>
      <w:kern w:val="28"/>
      <w:position w:val="-1"/>
      <w:sz w:val="32"/>
      <w:szCs w:val="32"/>
      <w:effect w:val="none"/>
      <w:vertAlign w:val="baseline"/>
      <w:cs w:val="0"/>
      <w:em w:val="none"/>
      <w:lang/>
    </w:rPr>
  </w:style>
  <w:style w:type="paragraph" w:styleId="TableParagraph">
    <w:name w:val="Table Paragraph"/>
    <w:basedOn w:val="Normal"/>
    <w:next w:val="TableParagraph"/>
    <w:autoRedefine w:val="0"/>
    <w:hidden w:val="0"/>
    <w:qFormat w:val="0"/>
    <w:pPr>
      <w:widowControl w:val="0"/>
      <w:suppressAutoHyphens w:val="1"/>
      <w:autoSpaceDE w:val="0"/>
      <w:autoSpaceDN w:val="0"/>
      <w:adjustRightInd w:val="0"/>
      <w:spacing w:line="1" w:lineRule="atLeast"/>
      <w:ind w:leftChars="-1" w:rightChars="0" w:firstLineChars="-1"/>
      <w:textDirection w:val="btLr"/>
      <w:textAlignment w:val="top"/>
      <w:outlineLvl w:val="0"/>
    </w:pPr>
    <w:rPr>
      <w:rFonts w:ascii="Times New Roman" w:cs="Times New Roman" w:hAnsi="Times New Roman"/>
      <w:w w:val="100"/>
      <w:position w:val="-1"/>
      <w:sz w:val="24"/>
      <w:szCs w:val="24"/>
      <w:effect w:val="none"/>
      <w:vertAlign w:val="baseline"/>
      <w:cs w:val="0"/>
      <w:em w:val="none"/>
      <w:lang w:bidi="ar-SA" w:eastAsia="en-US" w:val="en-US"/>
    </w:rPr>
  </w:style>
  <w:style w:type="paragraph" w:styleId="Encabezado">
    <w:name w:val="Encabezado"/>
    <w:basedOn w:val="Normal"/>
    <w:next w:val="Encabezado"/>
    <w:autoRedefine w:val="0"/>
    <w:hidden w:val="0"/>
    <w:qFormat w:val="1"/>
    <w:pPr>
      <w:widowControl w:val="0"/>
      <w:tabs>
        <w:tab w:val="center" w:leader="none" w:pos="4680"/>
        <w:tab w:val="right" w:leader="none" w:pos="9360"/>
      </w:tabs>
      <w:suppressAutoHyphens w:val="1"/>
      <w:autoSpaceDE w:val="0"/>
      <w:autoSpaceDN w:val="0"/>
      <w:adjustRightInd w:val="0"/>
      <w:spacing w:line="1" w:lineRule="atLeast"/>
      <w:ind w:leftChars="-1" w:rightChars="0" w:firstLineChars="-1"/>
      <w:textDirection w:val="btLr"/>
      <w:textAlignment w:val="top"/>
      <w:outlineLvl w:val="0"/>
    </w:pPr>
    <w:rPr>
      <w:rFonts w:ascii="Cambria" w:cs="Cambria" w:hAnsi="Cambria"/>
      <w:w w:val="100"/>
      <w:position w:val="-1"/>
      <w:sz w:val="22"/>
      <w:szCs w:val="22"/>
      <w:effect w:val="none"/>
      <w:vertAlign w:val="baseline"/>
      <w:cs w:val="0"/>
      <w:em w:val="none"/>
      <w:lang w:bidi="ar-SA" w:eastAsia="en-US" w:val="en-US"/>
    </w:rPr>
  </w:style>
  <w:style w:type="character" w:styleId="EncabezadoCar">
    <w:name w:val="Encabezado Car"/>
    <w:next w:val="EncabezadoCar"/>
    <w:autoRedefine w:val="0"/>
    <w:hidden w:val="0"/>
    <w:qFormat w:val="0"/>
    <w:rPr>
      <w:rFonts w:ascii="Cambria" w:cs="Cambria" w:hAnsi="Cambria"/>
      <w:w w:val="100"/>
      <w:position w:val="-1"/>
      <w:effect w:val="none"/>
      <w:vertAlign w:val="baseline"/>
      <w:cs w:val="0"/>
      <w:em w:val="none"/>
      <w:lang/>
    </w:rPr>
  </w:style>
  <w:style w:type="paragraph" w:styleId="Piedepágina">
    <w:name w:val="Pie de página"/>
    <w:basedOn w:val="Normal"/>
    <w:next w:val="Piedepágina"/>
    <w:autoRedefine w:val="0"/>
    <w:hidden w:val="0"/>
    <w:qFormat w:val="1"/>
    <w:pPr>
      <w:widowControl w:val="0"/>
      <w:tabs>
        <w:tab w:val="center" w:leader="none" w:pos="4680"/>
        <w:tab w:val="right" w:leader="none" w:pos="9360"/>
      </w:tabs>
      <w:suppressAutoHyphens w:val="1"/>
      <w:autoSpaceDE w:val="0"/>
      <w:autoSpaceDN w:val="0"/>
      <w:adjustRightInd w:val="0"/>
      <w:spacing w:line="1" w:lineRule="atLeast"/>
      <w:ind w:leftChars="-1" w:rightChars="0" w:firstLineChars="-1"/>
      <w:textDirection w:val="btLr"/>
      <w:textAlignment w:val="top"/>
      <w:outlineLvl w:val="0"/>
    </w:pPr>
    <w:rPr>
      <w:rFonts w:ascii="Cambria" w:cs="Cambria" w:hAnsi="Cambria"/>
      <w:w w:val="100"/>
      <w:position w:val="-1"/>
      <w:sz w:val="22"/>
      <w:szCs w:val="22"/>
      <w:effect w:val="none"/>
      <w:vertAlign w:val="baseline"/>
      <w:cs w:val="0"/>
      <w:em w:val="none"/>
      <w:lang w:bidi="ar-SA" w:eastAsia="en-US" w:val="en-US"/>
    </w:rPr>
  </w:style>
  <w:style w:type="character" w:styleId="PiedepáginaCar">
    <w:name w:val="Pie de página Car"/>
    <w:next w:val="PiedepáginaCar"/>
    <w:autoRedefine w:val="0"/>
    <w:hidden w:val="0"/>
    <w:qFormat w:val="0"/>
    <w:rPr>
      <w:rFonts w:ascii="Cambria" w:cs="Cambria" w:hAnsi="Cambria"/>
      <w:w w:val="100"/>
      <w:position w:val="-1"/>
      <w:effect w:val="none"/>
      <w:vertAlign w:val="baseline"/>
      <w:cs w:val="0"/>
      <w:em w:val="none"/>
      <w:lang/>
    </w:rPr>
  </w:style>
  <w:style w:type="character" w:styleId="Hipervínculo">
    <w:name w:val="Hipervínculo"/>
    <w:next w:val="Hipervínculo"/>
    <w:autoRedefine w:val="0"/>
    <w:hidden w:val="0"/>
    <w:qFormat w:val="1"/>
    <w:rPr>
      <w:color w:val="0563c1"/>
      <w:w w:val="100"/>
      <w:position w:val="-1"/>
      <w:u w:val="single"/>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Tahoma-regular.ttf"/><Relationship Id="rId6" Type="http://schemas.openxmlformats.org/officeDocument/2006/relationships/font" Target="fonts/Tahoma-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R3J80E9OenHIabdM7FdHoBaQF3A==">AMUW2mV1KVcrVwoerMkG5Ua3trfkAgnaKfmeUz3s4Tj94yEYar0dyp9BJwwCsB2RPSUdPsPTW5HM5zQtRt/JIZkwQy5KWSqQB0o3L5QcAAKWuqEaf9OeUe8=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2022-05-11T23:04:00Z</dcterms:created>
  <dc:creator>Sebastián</dc:creator>
</cp:coreProperties>
</file>

<file path=docProps/custom.xml><?xml version="1.0" encoding="utf-8"?>
<Properties xmlns="http://schemas.openxmlformats.org/officeDocument/2006/custom-properties" xmlns:vt="http://schemas.openxmlformats.org/officeDocument/2006/docPropsVTypes"/>
</file>